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EE7" w:rsidRPr="002456CB" w:rsidRDefault="003C0EE7" w:rsidP="003C0EE7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2456CB">
        <w:rPr>
          <w:rFonts w:ascii="Arial" w:hAnsi="Arial" w:cs="Arial"/>
          <w:b/>
          <w:color w:val="000000"/>
          <w:u w:val="single"/>
        </w:rPr>
        <w:t>INDICAÇÃO LEGISLATIVA nº</w:t>
      </w:r>
      <w:r>
        <w:rPr>
          <w:rFonts w:ascii="Arial" w:hAnsi="Arial" w:cs="Arial"/>
          <w:b/>
          <w:color w:val="000000"/>
          <w:u w:val="single"/>
        </w:rPr>
        <w:t>.</w:t>
      </w:r>
      <w:r w:rsidR="00734C19">
        <w:rPr>
          <w:rFonts w:ascii="Arial" w:hAnsi="Arial" w:cs="Arial"/>
          <w:b/>
          <w:color w:val="000000"/>
          <w:u w:val="single"/>
        </w:rPr>
        <w:t>09</w:t>
      </w:r>
      <w:r w:rsidR="00EA7D05">
        <w:rPr>
          <w:rFonts w:ascii="Arial" w:hAnsi="Arial" w:cs="Arial"/>
          <w:b/>
          <w:color w:val="000000"/>
          <w:u w:val="single"/>
        </w:rPr>
        <w:t>/</w:t>
      </w:r>
      <w:r w:rsidRPr="002456CB">
        <w:rPr>
          <w:rFonts w:ascii="Arial" w:hAnsi="Arial" w:cs="Arial"/>
          <w:b/>
          <w:color w:val="000000"/>
          <w:u w:val="single"/>
        </w:rPr>
        <w:t>2021</w:t>
      </w:r>
    </w:p>
    <w:p w:rsidR="003C0EE7" w:rsidRPr="002456CB" w:rsidRDefault="003C0EE7" w:rsidP="003C0EE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C0EE7" w:rsidRPr="002456CB" w:rsidRDefault="003C0EE7" w:rsidP="003C0EE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C0EE7" w:rsidRPr="002456CB" w:rsidRDefault="003C0EE7" w:rsidP="003C0EE7">
      <w:pPr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 w:rsidRPr="002456CB">
        <w:rPr>
          <w:rFonts w:ascii="Arial" w:hAnsi="Arial" w:cs="Arial"/>
          <w:color w:val="000000"/>
        </w:rPr>
        <w:t>O vereador</w:t>
      </w:r>
      <w:r>
        <w:rPr>
          <w:rFonts w:ascii="Arial" w:hAnsi="Arial" w:cs="Arial"/>
          <w:color w:val="000000"/>
        </w:rPr>
        <w:t xml:space="preserve"> </w:t>
      </w:r>
      <w:r w:rsidRPr="00595E15">
        <w:rPr>
          <w:rFonts w:ascii="Arial" w:hAnsi="Arial" w:cs="Arial"/>
          <w:b/>
          <w:color w:val="000000"/>
        </w:rPr>
        <w:t>JENAURO HRUBA</w:t>
      </w:r>
      <w:r w:rsidRPr="002456CB">
        <w:rPr>
          <w:rFonts w:ascii="Arial" w:hAnsi="Arial" w:cs="Arial"/>
          <w:color w:val="000000"/>
        </w:rPr>
        <w:t>, em conformidade com o contido no artigo 130</w:t>
      </w:r>
      <w:r w:rsidRPr="002456CB">
        <w:rPr>
          <w:rStyle w:val="Refdenotaderodap"/>
          <w:rFonts w:ascii="Arial" w:hAnsi="Arial" w:cs="Arial"/>
          <w:color w:val="000000"/>
        </w:rPr>
        <w:footnoteReference w:id="1"/>
      </w:r>
      <w:r w:rsidRPr="002456CB">
        <w:rPr>
          <w:rFonts w:ascii="Arial" w:hAnsi="Arial" w:cs="Arial"/>
          <w:color w:val="000000"/>
        </w:rPr>
        <w:t xml:space="preserve"> do Regimento Interno, </w:t>
      </w:r>
      <w:r w:rsidRPr="002456CB">
        <w:rPr>
          <w:rFonts w:ascii="Arial" w:hAnsi="Arial" w:cs="Arial"/>
          <w:b/>
          <w:color w:val="000000"/>
          <w:u w:val="single"/>
        </w:rPr>
        <w:t>INDICA</w:t>
      </w:r>
      <w:r w:rsidRPr="002456CB">
        <w:rPr>
          <w:rFonts w:ascii="Arial" w:hAnsi="Arial" w:cs="Arial"/>
          <w:color w:val="000000"/>
        </w:rPr>
        <w:t xml:space="preserve"> ao Excelentíssimo Senhor Vivaldo Lessa Moreira, Prefeito Municipal de Roncador, Estado do Paraná, para que remeta mensagem a esta Casa de Leis, apresentando projeto de lei para </w:t>
      </w:r>
      <w:r>
        <w:rPr>
          <w:rFonts w:ascii="Arial" w:hAnsi="Arial" w:cs="Arial"/>
          <w:color w:val="000000"/>
        </w:rPr>
        <w:t xml:space="preserve">adequação da lei </w:t>
      </w:r>
      <w:r w:rsidR="00B51469">
        <w:rPr>
          <w:rFonts w:ascii="Arial" w:hAnsi="Arial" w:cs="Arial"/>
          <w:color w:val="000000"/>
        </w:rPr>
        <w:t xml:space="preserve">que </w:t>
      </w:r>
      <w:bookmarkStart w:id="0" w:name="_GoBack"/>
      <w:bookmarkEnd w:id="0"/>
      <w:r w:rsidR="00B51469">
        <w:rPr>
          <w:rFonts w:ascii="Arial" w:hAnsi="Arial" w:cs="Arial"/>
          <w:color w:val="000000"/>
        </w:rPr>
        <w:t xml:space="preserve">dispõe sobre o </w:t>
      </w:r>
      <w:r w:rsidR="00B51469" w:rsidRPr="00B51469">
        <w:rPr>
          <w:rFonts w:ascii="Arial" w:hAnsi="Arial" w:cs="Arial"/>
          <w:color w:val="000000"/>
        </w:rPr>
        <w:t xml:space="preserve">plano de cargos, vencimentos e carreiras do servidor público municipal de </w:t>
      </w:r>
      <w:r w:rsidR="00B51469">
        <w:rPr>
          <w:rFonts w:ascii="Arial" w:hAnsi="Arial" w:cs="Arial"/>
          <w:color w:val="000000"/>
        </w:rPr>
        <w:t>R</w:t>
      </w:r>
      <w:r w:rsidR="00B51469" w:rsidRPr="00B51469">
        <w:rPr>
          <w:rFonts w:ascii="Arial" w:hAnsi="Arial" w:cs="Arial"/>
          <w:color w:val="000000"/>
        </w:rPr>
        <w:t xml:space="preserve">oncador </w:t>
      </w:r>
      <w:r w:rsidR="00B51469">
        <w:rPr>
          <w:rFonts w:ascii="Arial" w:hAnsi="Arial" w:cs="Arial"/>
          <w:color w:val="000000"/>
        </w:rPr>
        <w:t>(Lei 786/2005)</w:t>
      </w:r>
      <w:r>
        <w:rPr>
          <w:rFonts w:ascii="Arial" w:hAnsi="Arial" w:cs="Arial"/>
          <w:color w:val="000000"/>
        </w:rPr>
        <w:t>, promovendo a equiparação</w:t>
      </w:r>
      <w:r w:rsidR="005E27A5">
        <w:rPr>
          <w:rFonts w:ascii="Arial" w:hAnsi="Arial" w:cs="Arial"/>
          <w:color w:val="000000"/>
        </w:rPr>
        <w:t xml:space="preserve"> salarial</w:t>
      </w:r>
      <w:r>
        <w:rPr>
          <w:rFonts w:ascii="Arial" w:hAnsi="Arial" w:cs="Arial"/>
          <w:color w:val="000000"/>
        </w:rPr>
        <w:t xml:space="preserve"> do agente administrativo ao assistente administrativo e ao assistente técnico administrativo.</w:t>
      </w:r>
    </w:p>
    <w:p w:rsidR="003C0EE7" w:rsidRPr="002456CB" w:rsidRDefault="003C0EE7" w:rsidP="003C0EE7">
      <w:pPr>
        <w:spacing w:line="360" w:lineRule="auto"/>
        <w:rPr>
          <w:rFonts w:ascii="Arial" w:hAnsi="Arial" w:cs="Arial"/>
          <w:color w:val="000000"/>
        </w:rPr>
      </w:pPr>
      <w:r w:rsidRPr="002456CB">
        <w:rPr>
          <w:rFonts w:ascii="Arial" w:hAnsi="Arial" w:cs="Arial"/>
          <w:color w:val="000000"/>
        </w:rPr>
        <w:br/>
      </w:r>
      <w:r w:rsidRPr="002456CB">
        <w:rPr>
          <w:rFonts w:ascii="Arial" w:hAnsi="Arial" w:cs="Arial"/>
          <w:b/>
          <w:color w:val="000000"/>
        </w:rPr>
        <w:t>JUSTIFICATIVA</w:t>
      </w:r>
    </w:p>
    <w:p w:rsidR="003C0EE7" w:rsidRDefault="003C0EE7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3C0EE7" w:rsidRDefault="003C0EE7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 w:rsidRPr="002456CB">
        <w:rPr>
          <w:rFonts w:ascii="Arial" w:hAnsi="Arial" w:cs="Arial"/>
          <w:color w:val="000000"/>
        </w:rPr>
        <w:t xml:space="preserve">A presente indicação legislativa, caso convertida em lei, visa </w:t>
      </w:r>
      <w:r>
        <w:rPr>
          <w:rFonts w:ascii="Arial" w:hAnsi="Arial" w:cs="Arial"/>
          <w:color w:val="000000"/>
        </w:rPr>
        <w:t xml:space="preserve">atualizar a legislação municipal que dispõe sobre </w:t>
      </w:r>
      <w:r w:rsidR="004225DF">
        <w:rPr>
          <w:rFonts w:ascii="Arial" w:hAnsi="Arial" w:cs="Arial"/>
          <w:color w:val="000000"/>
        </w:rPr>
        <w:t xml:space="preserve">o </w:t>
      </w:r>
      <w:r w:rsidR="004225DF" w:rsidRPr="00B51469">
        <w:rPr>
          <w:rFonts w:ascii="Arial" w:hAnsi="Arial" w:cs="Arial"/>
          <w:color w:val="000000"/>
        </w:rPr>
        <w:t xml:space="preserve">plano de cargos, vencimentos e carreiras do servidor público municipal de </w:t>
      </w:r>
      <w:r w:rsidR="004225DF">
        <w:rPr>
          <w:rFonts w:ascii="Arial" w:hAnsi="Arial" w:cs="Arial"/>
          <w:color w:val="000000"/>
        </w:rPr>
        <w:t>R</w:t>
      </w:r>
      <w:r w:rsidR="004225DF" w:rsidRPr="00B51469">
        <w:rPr>
          <w:rFonts w:ascii="Arial" w:hAnsi="Arial" w:cs="Arial"/>
          <w:color w:val="000000"/>
        </w:rPr>
        <w:t>oncador</w:t>
      </w:r>
      <w:r w:rsidRPr="009506B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4225DF">
        <w:rPr>
          <w:rFonts w:ascii="Arial" w:hAnsi="Arial" w:cs="Arial"/>
          <w:color w:val="000000"/>
        </w:rPr>
        <w:t>especialmente no que tange a equiparação salarial entre os cargos de agente administrativo e os de assistente administrativo e assistente técnico administrativo</w:t>
      </w:r>
      <w:r>
        <w:rPr>
          <w:rFonts w:ascii="Arial" w:hAnsi="Arial" w:cs="Arial"/>
          <w:color w:val="000000"/>
        </w:rPr>
        <w:t>.</w:t>
      </w:r>
    </w:p>
    <w:p w:rsidR="004225DF" w:rsidRDefault="004225DF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79285B" w:rsidRDefault="004225DF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Tal pedido se justifica em razão de que todos os referidos cargos exercem as mesmas funções, executam comandos de igual natureza, porém os agentes administrativos possuem </w:t>
      </w:r>
      <w:r w:rsidR="007118F0">
        <w:rPr>
          <w:rFonts w:ascii="Arial" w:hAnsi="Arial" w:cs="Arial"/>
          <w:color w:val="000000"/>
        </w:rPr>
        <w:t>salário</w:t>
      </w:r>
      <w:r>
        <w:rPr>
          <w:rFonts w:ascii="Arial" w:hAnsi="Arial" w:cs="Arial"/>
          <w:color w:val="000000"/>
        </w:rPr>
        <w:t xml:space="preserve"> inferior aos de assistente administrativo e assistente técnico administrativo.</w:t>
      </w:r>
    </w:p>
    <w:p w:rsidR="0079285B" w:rsidRDefault="0079285B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4225DF" w:rsidRDefault="004225DF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Tal situação fere frontalmente o princípio da isonomia, ou seja, dá tratamento desigual a pessoas que estão em situação idêntica.</w:t>
      </w:r>
      <w:r w:rsidR="003464FB">
        <w:rPr>
          <w:rFonts w:ascii="Arial" w:hAnsi="Arial" w:cs="Arial"/>
          <w:color w:val="000000"/>
        </w:rPr>
        <w:t xml:space="preserve"> Note-se que na descrição dos cargos constantes da lei, </w:t>
      </w:r>
      <w:r w:rsidR="003D6E7F">
        <w:rPr>
          <w:rFonts w:ascii="Arial" w:hAnsi="Arial" w:cs="Arial"/>
          <w:color w:val="000000"/>
        </w:rPr>
        <w:t>tanto as funções como as exigências e o nível de escolaridade que se determina para fazer jus aos cargos são idênticos,</w:t>
      </w:r>
      <w:r w:rsidR="00385B3A">
        <w:rPr>
          <w:rFonts w:ascii="Arial" w:hAnsi="Arial" w:cs="Arial"/>
          <w:color w:val="000000"/>
        </w:rPr>
        <w:t xml:space="preserve"> então não há razões para que se mantenha por ainda mais tempo a discrepância salarial.</w:t>
      </w:r>
    </w:p>
    <w:p w:rsidR="00A35F48" w:rsidRDefault="00A35F48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A35F48" w:rsidRDefault="00A35F48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Observe-se que os cargos são tão equivalentes que o artigo 40 da Lei 786/2005 extinguiu os cargos de assistente administrativo e de assistente técnico administrativo, transformando todos em agente administrativo, ou seja, uma clara demonstração de que são absolutamente iguais, em termos de atribuições, funções</w:t>
      </w:r>
      <w:r w:rsidR="007118F0"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</w:rPr>
        <w:t xml:space="preserve"> exigências, </w:t>
      </w:r>
      <w:r w:rsidR="00400EF4">
        <w:rPr>
          <w:rFonts w:ascii="Arial" w:hAnsi="Arial" w:cs="Arial"/>
          <w:color w:val="000000"/>
        </w:rPr>
        <w:t>sendo que a única identidade faltante é a salarial.</w:t>
      </w:r>
    </w:p>
    <w:p w:rsidR="00385B3A" w:rsidRDefault="00385B3A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385B3A" w:rsidRDefault="00385B3A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Constituição Federal, lei maior de nosso país, em seu artigo 7º que trata sobre os direitos dos trabalhadores urbanos e rurais, reza especificamente no inciso V que é direito de todo trabalhador “piso salarial proporcional à extensão e à complexidade do trabalho”.</w:t>
      </w:r>
    </w:p>
    <w:p w:rsidR="00385B3A" w:rsidRDefault="00385B3A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385B3A" w:rsidRDefault="00385B3A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Assim, promover a equiparação salarial dos mencionados cargos é, antes de tudo, conferir pleno respeito aos comandos constitucionais, e ainda fazer justiça social e salarial.</w:t>
      </w:r>
    </w:p>
    <w:p w:rsidR="00A35F48" w:rsidRDefault="00A35F48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CE707F" w:rsidRDefault="00CE707F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Tribunal de Justiça do Estado do Paraná já decidiu neste sentido, senão vejamos:</w:t>
      </w:r>
    </w:p>
    <w:p w:rsidR="00CE707F" w:rsidRDefault="000B11FD" w:rsidP="007712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INCIDENTE DE DECLARAÇÃO DE INCONSTITUCIONALIDADE</w:t>
      </w:r>
      <w:r w:rsidR="00076BC6">
        <w:rPr>
          <w:rFonts w:ascii="Arial" w:hAnsi="Arial" w:cs="Arial"/>
          <w:color w:val="000000"/>
        </w:rPr>
        <w:t xml:space="preserve"> – LEI Nº. 897/2001 DO MUNICÍPIO DE FLORAÍ – NORMA QUE INSTITUI O PLANO DE CARGOS, CARREIRA E VENCIMENTOS DOS SERVIDORES PÚBLICOS MUNICIPAIS – INCONSTITUCIONALIDADE PRESENTE ANTE A OCORRENCIA DE REMUNERAÇÃO DIFERENCIADA PARA OS CARGOS DE </w:t>
      </w:r>
      <w:r w:rsidR="00076BC6">
        <w:rPr>
          <w:rFonts w:ascii="Arial" w:hAnsi="Arial" w:cs="Arial"/>
          <w:color w:val="000000"/>
        </w:rPr>
        <w:lastRenderedPageBreak/>
        <w:t>AUXILIAR ADMINISTRATIVO, AUXILIAR ADMINISTRATIVO I, II, III E IV, OS QUAIS POSSUEM FUNÇÕES, EXIGÊNCIAS E NÍVEL DE ESCOLARIDADE IDÊNTICAS – VIOLAÇÃO AO PRINCÍPIO CONSTITUCIONAL DA ISONOMIA E INFRINGÊNCIA AO DISPOSTO NO INCISO V</w:t>
      </w:r>
      <w:r w:rsidR="00AA3031">
        <w:rPr>
          <w:rFonts w:ascii="Arial" w:hAnsi="Arial" w:cs="Arial"/>
          <w:color w:val="000000"/>
        </w:rPr>
        <w:t xml:space="preserve"> DO ARTIGO 7º E INCISO I DO PARÁGRAFO PRIMEIRO DO ARTIGO 39, AMBOS DA CONSTITUIÇÃO FEDERAL – UTILIZAÇÃO DA TÉCNICA DA INTERPRETAÇÃO CONFORME </w:t>
      </w:r>
      <w:r w:rsidR="001C016B">
        <w:rPr>
          <w:rFonts w:ascii="Arial" w:hAnsi="Arial" w:cs="Arial"/>
          <w:color w:val="000000"/>
        </w:rPr>
        <w:t>A CONSTITUIÇÃO</w:t>
      </w:r>
      <w:r w:rsidR="00F914D5">
        <w:rPr>
          <w:rFonts w:ascii="Arial" w:hAnsi="Arial" w:cs="Arial"/>
          <w:color w:val="000000"/>
        </w:rPr>
        <w:t xml:space="preserve"> PARA RECONHECER A NECESSIDADE DE CUSTEIO DA REMUNE</w:t>
      </w:r>
      <w:r w:rsidR="001760BA">
        <w:rPr>
          <w:rFonts w:ascii="Arial" w:hAnsi="Arial" w:cs="Arial"/>
          <w:color w:val="000000"/>
        </w:rPr>
        <w:t xml:space="preserve">RAÇÃO POR CRITÉRIOS A SEREM DECIDIDOS PELA CÂMARA, APESAR DA MANUTENÇÃO LEGAL DOS DIVERSOS CARGOS, TENDO EM VISTA A INEXISTÊNCIA </w:t>
      </w:r>
      <w:r w:rsidR="00342AEE">
        <w:rPr>
          <w:rFonts w:ascii="Arial" w:hAnsi="Arial" w:cs="Arial"/>
          <w:color w:val="000000"/>
        </w:rPr>
        <w:t>DE PLANO DE CARREIRA SUBSTITUTO AO DA LEI DECLARADA INCONSTITUCIONAL – PROCEDÊNCIA DO INCIDENTE.</w:t>
      </w:r>
      <w:r w:rsidR="00E73408">
        <w:rPr>
          <w:rFonts w:ascii="Arial" w:hAnsi="Arial" w:cs="Arial"/>
          <w:color w:val="000000"/>
        </w:rPr>
        <w:t xml:space="preserve"> (TJ-PR</w:t>
      </w:r>
      <w:r w:rsidR="000A639C">
        <w:rPr>
          <w:rFonts w:ascii="Arial" w:hAnsi="Arial" w:cs="Arial"/>
          <w:color w:val="000000"/>
        </w:rPr>
        <w:t xml:space="preserve"> – Órgão Especial – IDI – 1255537-2/01 – Região Metropolitana de Maringá – Foro Regional de Nova Esperança – Rel.: Desembargador Carlos Mansur Arida - Unânime – J. 18-04-2016)</w:t>
      </w:r>
    </w:p>
    <w:p w:rsidR="00A35F48" w:rsidRDefault="00A35F48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3C0EE7" w:rsidRPr="002456CB" w:rsidRDefault="003C0EE7" w:rsidP="003C0E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 w:rsidRPr="002456CB">
        <w:rPr>
          <w:rFonts w:ascii="Arial" w:hAnsi="Arial" w:cs="Arial"/>
          <w:color w:val="000000"/>
        </w:rPr>
        <w:t xml:space="preserve">Diante do exposto, o </w:t>
      </w:r>
      <w:r>
        <w:rPr>
          <w:rFonts w:ascii="Arial" w:hAnsi="Arial" w:cs="Arial"/>
          <w:color w:val="000000"/>
        </w:rPr>
        <w:t xml:space="preserve">vereador que esta subscreve </w:t>
      </w:r>
      <w:r w:rsidRPr="002456CB">
        <w:rPr>
          <w:rFonts w:ascii="Arial" w:hAnsi="Arial" w:cs="Arial"/>
          <w:color w:val="000000"/>
        </w:rPr>
        <w:t xml:space="preserve">propõe a presente indicação legislativa, a fim de o Prefeito Municipal encaminhar Projeto de Lei a esta Casa de Leis para deliberação acerca </w:t>
      </w:r>
      <w:r w:rsidR="005E27A5">
        <w:rPr>
          <w:rFonts w:ascii="Arial" w:hAnsi="Arial" w:cs="Arial"/>
          <w:color w:val="000000"/>
        </w:rPr>
        <w:t>da equiparação salarial do agente administrativo ao assistente administrativo e ao assistente técnico administrativo</w:t>
      </w:r>
      <w:r w:rsidRPr="002456CB">
        <w:rPr>
          <w:rFonts w:ascii="Arial" w:hAnsi="Arial" w:cs="Arial"/>
          <w:color w:val="000000"/>
        </w:rPr>
        <w:t>.</w:t>
      </w:r>
    </w:p>
    <w:p w:rsidR="003C0EE7" w:rsidRPr="002456CB" w:rsidRDefault="003C0EE7" w:rsidP="003C0EE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3C0EE7" w:rsidRPr="002456CB" w:rsidRDefault="003C0EE7" w:rsidP="003C0EE7">
      <w:pPr>
        <w:spacing w:line="360" w:lineRule="auto"/>
        <w:jc w:val="center"/>
        <w:rPr>
          <w:rFonts w:ascii="Arial" w:hAnsi="Arial" w:cs="Arial"/>
          <w:color w:val="000000"/>
        </w:rPr>
      </w:pPr>
      <w:r w:rsidRPr="002456CB">
        <w:rPr>
          <w:rFonts w:ascii="Arial" w:hAnsi="Arial" w:cs="Arial"/>
          <w:color w:val="000000"/>
        </w:rPr>
        <w:t xml:space="preserve">Roncador, </w:t>
      </w:r>
      <w:r w:rsidR="005E27A5">
        <w:rPr>
          <w:rFonts w:ascii="Arial" w:hAnsi="Arial" w:cs="Arial"/>
          <w:color w:val="000000"/>
        </w:rPr>
        <w:t>08</w:t>
      </w:r>
      <w:r w:rsidRPr="002456CB">
        <w:rPr>
          <w:rFonts w:ascii="Arial" w:hAnsi="Arial" w:cs="Arial"/>
          <w:color w:val="000000"/>
        </w:rPr>
        <w:t xml:space="preserve"> de </w:t>
      </w:r>
      <w:r w:rsidR="005E27A5">
        <w:rPr>
          <w:rFonts w:ascii="Arial" w:hAnsi="Arial" w:cs="Arial"/>
          <w:color w:val="000000"/>
        </w:rPr>
        <w:t>novem</w:t>
      </w:r>
      <w:r>
        <w:rPr>
          <w:rFonts w:ascii="Arial" w:hAnsi="Arial" w:cs="Arial"/>
          <w:color w:val="000000"/>
        </w:rPr>
        <w:t>bro</w:t>
      </w:r>
      <w:r w:rsidRPr="002456CB">
        <w:rPr>
          <w:rFonts w:ascii="Arial" w:hAnsi="Arial" w:cs="Arial"/>
          <w:color w:val="000000"/>
        </w:rPr>
        <w:t xml:space="preserve"> de 2021.</w:t>
      </w:r>
    </w:p>
    <w:p w:rsidR="003C0EE7" w:rsidRPr="002456CB" w:rsidRDefault="003C0EE7" w:rsidP="003C0EE7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C0EE7" w:rsidRPr="002456CB" w:rsidRDefault="003C0EE7" w:rsidP="003C0EE7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3C0EE7" w:rsidRPr="002456CB" w:rsidRDefault="003C0EE7" w:rsidP="003C0EE7">
      <w:pPr>
        <w:spacing w:line="360" w:lineRule="auto"/>
        <w:jc w:val="center"/>
        <w:rPr>
          <w:rFonts w:ascii="Arial" w:hAnsi="Arial" w:cs="Arial"/>
          <w:color w:val="000000"/>
        </w:rPr>
      </w:pPr>
      <w:r w:rsidRPr="002456CB">
        <w:rPr>
          <w:rFonts w:ascii="Arial" w:hAnsi="Arial" w:cs="Arial"/>
          <w:color w:val="000000"/>
        </w:rPr>
        <w:t>____________________________________</w:t>
      </w:r>
    </w:p>
    <w:p w:rsidR="003C0EE7" w:rsidRPr="002456CB" w:rsidRDefault="003C0EE7" w:rsidP="003C0EE7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JENAURO HRUBA</w:t>
      </w:r>
    </w:p>
    <w:p w:rsidR="00235D9C" w:rsidRDefault="003C0EE7" w:rsidP="0077125A">
      <w:pPr>
        <w:spacing w:line="360" w:lineRule="auto"/>
        <w:jc w:val="center"/>
      </w:pPr>
      <w:r w:rsidRPr="002456CB">
        <w:rPr>
          <w:rFonts w:ascii="Arial" w:hAnsi="Arial" w:cs="Arial"/>
          <w:b/>
          <w:color w:val="000000"/>
        </w:rPr>
        <w:t>Presidente</w:t>
      </w:r>
    </w:p>
    <w:sectPr w:rsidR="00235D9C" w:rsidSect="00F61675">
      <w:headerReference w:type="default" r:id="rId6"/>
      <w:pgSz w:w="12240" w:h="15840"/>
      <w:pgMar w:top="1824" w:right="900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F9" w:rsidRDefault="00021DF9" w:rsidP="003C0EE7">
      <w:r>
        <w:separator/>
      </w:r>
    </w:p>
  </w:endnote>
  <w:endnote w:type="continuationSeparator" w:id="0">
    <w:p w:rsidR="00021DF9" w:rsidRDefault="00021DF9" w:rsidP="003C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lstaff Festival MT">
    <w:altName w:val="MV Bol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F9" w:rsidRDefault="00021DF9" w:rsidP="003C0EE7">
      <w:r>
        <w:separator/>
      </w:r>
    </w:p>
  </w:footnote>
  <w:footnote w:type="continuationSeparator" w:id="0">
    <w:p w:rsidR="00021DF9" w:rsidRDefault="00021DF9" w:rsidP="003C0EE7">
      <w:r>
        <w:continuationSeparator/>
      </w:r>
    </w:p>
  </w:footnote>
  <w:footnote w:id="1">
    <w:p w:rsidR="003C0EE7" w:rsidRPr="00A55752" w:rsidRDefault="003C0EE7" w:rsidP="003C0EE7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55752">
        <w:rPr>
          <w:rStyle w:val="Refdenotaderodap"/>
          <w:rFonts w:ascii="Arial" w:hAnsi="Arial" w:cs="Arial"/>
          <w:sz w:val="16"/>
          <w:szCs w:val="16"/>
        </w:rPr>
        <w:footnoteRef/>
      </w:r>
      <w:r w:rsidRPr="00A55752">
        <w:rPr>
          <w:rFonts w:ascii="Arial" w:hAnsi="Arial" w:cs="Arial"/>
          <w:sz w:val="16"/>
          <w:szCs w:val="16"/>
        </w:rPr>
        <w:t xml:space="preserve"> </w:t>
      </w:r>
      <w:r w:rsidRPr="00A55752">
        <w:rPr>
          <w:rFonts w:ascii="Arial" w:hAnsi="Arial" w:cs="Arial"/>
          <w:color w:val="000000"/>
          <w:sz w:val="16"/>
          <w:szCs w:val="16"/>
        </w:rPr>
        <w:t>Art. 130. Indicação é proposição em que são solicitadas medidas de interesse público, cuja iniciativa legislativa ou execução administrativa seja competência do Poder Executivo.</w:t>
      </w:r>
    </w:p>
    <w:p w:rsidR="003C0EE7" w:rsidRPr="00A55752" w:rsidRDefault="003C0EE7" w:rsidP="003C0EE7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55752">
        <w:rPr>
          <w:rFonts w:ascii="Arial" w:hAnsi="Arial" w:cs="Arial"/>
          <w:color w:val="000000"/>
          <w:sz w:val="16"/>
          <w:szCs w:val="16"/>
        </w:rPr>
        <w:t>§ 1° As indicações dividem-se em duas categorias:</w:t>
      </w:r>
    </w:p>
    <w:p w:rsidR="003C0EE7" w:rsidRPr="00A55752" w:rsidRDefault="003C0EE7" w:rsidP="003C0EE7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55752">
        <w:rPr>
          <w:rFonts w:ascii="Arial" w:hAnsi="Arial" w:cs="Arial"/>
          <w:color w:val="000000"/>
          <w:sz w:val="16"/>
          <w:szCs w:val="16"/>
        </w:rPr>
        <w:t xml:space="preserve"> I - </w:t>
      </w:r>
      <w:proofErr w:type="gramStart"/>
      <w:r w:rsidRPr="00A55752">
        <w:rPr>
          <w:rFonts w:ascii="Arial" w:hAnsi="Arial" w:cs="Arial"/>
          <w:color w:val="000000"/>
          <w:sz w:val="16"/>
          <w:szCs w:val="16"/>
        </w:rPr>
        <w:t>simples</w:t>
      </w:r>
      <w:proofErr w:type="gramEnd"/>
      <w:r w:rsidRPr="00A55752">
        <w:rPr>
          <w:rFonts w:ascii="Arial" w:hAnsi="Arial" w:cs="Arial"/>
          <w:color w:val="000000"/>
          <w:sz w:val="16"/>
          <w:szCs w:val="16"/>
        </w:rPr>
        <w:t>, quando se destinam a obter do Poder Executivo medidas de interesse público que não constituem matéria de projeto de lei;</w:t>
      </w:r>
    </w:p>
    <w:p w:rsidR="003C0EE7" w:rsidRPr="00A55752" w:rsidRDefault="003C0EE7" w:rsidP="003C0EE7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55752">
        <w:rPr>
          <w:rFonts w:ascii="Arial" w:hAnsi="Arial" w:cs="Arial"/>
          <w:color w:val="000000"/>
          <w:sz w:val="16"/>
          <w:szCs w:val="16"/>
        </w:rPr>
        <w:t xml:space="preserve">II - </w:t>
      </w:r>
      <w:proofErr w:type="gramStart"/>
      <w:r w:rsidRPr="00A55752">
        <w:rPr>
          <w:rFonts w:ascii="Arial" w:hAnsi="Arial" w:cs="Arial"/>
          <w:color w:val="000000"/>
          <w:sz w:val="16"/>
          <w:szCs w:val="16"/>
        </w:rPr>
        <w:t>legislativas</w:t>
      </w:r>
      <w:proofErr w:type="gramEnd"/>
      <w:r w:rsidRPr="00A55752">
        <w:rPr>
          <w:rFonts w:ascii="Arial" w:hAnsi="Arial" w:cs="Arial"/>
          <w:color w:val="000000"/>
          <w:sz w:val="16"/>
          <w:szCs w:val="16"/>
        </w:rPr>
        <w:t>, quando se destinam a obter do Poder Executivo o envio de Mensagem à Câmara por força de competência atribuída pela Lei Orgânica do Município.</w:t>
      </w:r>
    </w:p>
    <w:p w:rsidR="003C0EE7" w:rsidRPr="00A55752" w:rsidRDefault="003C0EE7" w:rsidP="003C0EE7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55752">
        <w:rPr>
          <w:rFonts w:ascii="Arial" w:hAnsi="Arial" w:cs="Arial"/>
          <w:color w:val="000000"/>
          <w:sz w:val="16"/>
          <w:szCs w:val="16"/>
        </w:rPr>
        <w:t>§ 2° As indicações relativas à realização de obras e à execução de serviços públicos somente poderão ser apresentadas quando tratarem de metas incluídas no plano plurianual ou na lei de diretrizes orçamentárias.</w:t>
      </w:r>
    </w:p>
    <w:p w:rsidR="003C0EE7" w:rsidRPr="00A55752" w:rsidRDefault="003C0EE7" w:rsidP="003C0EE7">
      <w:pPr>
        <w:jc w:val="both"/>
        <w:rPr>
          <w:rFonts w:ascii="Century Gothic" w:hAnsi="Century Gothic"/>
          <w:sz w:val="16"/>
          <w:szCs w:val="16"/>
        </w:rPr>
      </w:pPr>
      <w:r w:rsidRPr="00A55752">
        <w:rPr>
          <w:rFonts w:ascii="Arial" w:hAnsi="Arial" w:cs="Arial"/>
          <w:color w:val="000000"/>
          <w:sz w:val="16"/>
          <w:szCs w:val="16"/>
        </w:rPr>
        <w:t>§ 3° Não é permitido dar a forma de indicação a assuntos regimentalmente reservados para constituir objeto de requerimento.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DBB" w:rsidRPr="00B70FF7" w:rsidRDefault="00FD0486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 w:rsidRPr="00B70FF7">
      <w:rPr>
        <w:rFonts w:ascii="Arial" w:hAnsi="Arial" w:cs="Arial"/>
        <w:noProof/>
        <w:sz w:val="36"/>
      </w:rPr>
      <w:drawing>
        <wp:anchor distT="0" distB="0" distL="114300" distR="114300" simplePos="0" relativeHeight="251660288" behindDoc="1" locked="0" layoutInCell="1" allowOverlap="1" wp14:anchorId="44FE12F0" wp14:editId="62294884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0" t="0" r="0" b="9525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 w:rsidRPr="00B70FF7">
      <w:rPr>
        <w:rFonts w:ascii="Arial" w:hAnsi="Arial" w:cs="Arial"/>
        <w:b w:val="0"/>
        <w:bCs/>
        <w:color w:val="666699"/>
        <w:sz w:val="48"/>
        <w:u w:val="single"/>
      </w:rPr>
      <w:t>CAMARA MUNICIPAL DE RONCADOR</w:t>
    </w:r>
  </w:p>
  <w:p w:rsidR="00500DBB" w:rsidRPr="00B70FF7" w:rsidRDefault="00FD0486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proofErr w:type="spellStart"/>
    <w:r w:rsidRPr="00B70FF7">
      <w:rPr>
        <w:rFonts w:ascii="Arial" w:hAnsi="Arial" w:cs="Arial"/>
        <w:b w:val="0"/>
        <w:bCs/>
        <w:color w:val="666699"/>
        <w:sz w:val="20"/>
      </w:rPr>
      <w:t>Pr</w:t>
    </w:r>
    <w:proofErr w:type="spellEnd"/>
    <w:r w:rsidRPr="00B70FF7">
      <w:rPr>
        <w:rFonts w:ascii="Arial" w:hAnsi="Arial" w:cs="Arial"/>
        <w:b w:val="0"/>
        <w:bCs/>
        <w:color w:val="666699"/>
        <w:sz w:val="20"/>
      </w:rPr>
      <w:t>, Fone/Fax (44)575-1434.</w:t>
    </w:r>
  </w:p>
  <w:p w:rsidR="00500DBB" w:rsidRPr="0003601A" w:rsidRDefault="00FD0486">
    <w:pPr>
      <w:pStyle w:val="Subttulo"/>
      <w:rPr>
        <w:rFonts w:ascii="Arial" w:hAnsi="Arial" w:cs="Arial"/>
        <w:b w:val="0"/>
        <w:bCs/>
        <w:color w:val="666699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70FF7">
      <w:rPr>
        <w:rFonts w:ascii="Arial" w:hAnsi="Arial" w:cs="Arial"/>
        <w:b w:val="0"/>
        <w:bCs/>
        <w:color w:val="666699"/>
        <w:sz w:val="20"/>
      </w:rPr>
      <w:t>CNPJ:78.184.355/0001-75</w:t>
    </w:r>
  </w:p>
  <w:p w:rsidR="00500DBB" w:rsidRPr="0003601A" w:rsidRDefault="00FD0486">
    <w:pPr>
      <w:pStyle w:val="Subttulo"/>
      <w:rPr>
        <w:rFonts w:ascii="Falstaff Festival MT" w:hAnsi="Falstaff Festival MT"/>
        <w:b w:val="0"/>
        <w:bCs/>
        <w:color w:val="666699"/>
        <w:sz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3601A">
      <w:rPr>
        <w:rFonts w:ascii="Falstaff Festival MT" w:hAnsi="Falstaff Festival MT"/>
        <w:b w:val="0"/>
        <w:bCs/>
        <w:noProof/>
        <w:color w:val="666699"/>
        <w:sz w:val="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FED28" wp14:editId="17CA0561">
              <wp:simplePos x="0" y="0"/>
              <wp:positionH relativeFrom="column">
                <wp:posOffset>-337185</wp:posOffset>
              </wp:positionH>
              <wp:positionV relativeFrom="paragraph">
                <wp:posOffset>20320</wp:posOffset>
              </wp:positionV>
              <wp:extent cx="6499860" cy="0"/>
              <wp:effectExtent l="15240" t="20320" r="19050" b="1778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2D77FAE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" strokeweight="2.25pt"/>
          </w:pict>
        </mc:Fallback>
      </mc:AlternateContent>
    </w:r>
  </w:p>
  <w:p w:rsidR="00500DBB" w:rsidRDefault="00FD0486" w:rsidP="00B70FF7">
    <w:pPr>
      <w:pStyle w:val="Cabealho"/>
      <w:tabs>
        <w:tab w:val="left" w:pos="4110"/>
      </w:tabs>
      <w:rPr>
        <w:b/>
        <w:bCs/>
      </w:rPr>
    </w:pPr>
    <w:r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E7"/>
    <w:rsid w:val="00021DF9"/>
    <w:rsid w:val="00076BC6"/>
    <w:rsid w:val="000A639C"/>
    <w:rsid w:val="000B11FD"/>
    <w:rsid w:val="0012144A"/>
    <w:rsid w:val="001760BA"/>
    <w:rsid w:val="001C016B"/>
    <w:rsid w:val="00235D9C"/>
    <w:rsid w:val="00342AEE"/>
    <w:rsid w:val="003464FB"/>
    <w:rsid w:val="00385B3A"/>
    <w:rsid w:val="003C0EE7"/>
    <w:rsid w:val="003D6E7F"/>
    <w:rsid w:val="00400EF4"/>
    <w:rsid w:val="004225DF"/>
    <w:rsid w:val="004F2467"/>
    <w:rsid w:val="005E27A5"/>
    <w:rsid w:val="007118F0"/>
    <w:rsid w:val="00726C2C"/>
    <w:rsid w:val="00734C19"/>
    <w:rsid w:val="0077125A"/>
    <w:rsid w:val="0079285B"/>
    <w:rsid w:val="00810A7C"/>
    <w:rsid w:val="00866AD8"/>
    <w:rsid w:val="008C06F6"/>
    <w:rsid w:val="009149E4"/>
    <w:rsid w:val="009F1F27"/>
    <w:rsid w:val="00A35F48"/>
    <w:rsid w:val="00AA3031"/>
    <w:rsid w:val="00B51469"/>
    <w:rsid w:val="00B537D1"/>
    <w:rsid w:val="00B943D7"/>
    <w:rsid w:val="00CE707F"/>
    <w:rsid w:val="00E24FA0"/>
    <w:rsid w:val="00E73408"/>
    <w:rsid w:val="00EA7D05"/>
    <w:rsid w:val="00F914D5"/>
    <w:rsid w:val="00FD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62C8"/>
  <w15:chartTrackingRefBased/>
  <w15:docId w15:val="{6B4978D5-48F8-42CF-BAB8-6469650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C0E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C0E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3C0EE7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3C0EE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3C0EE7"/>
    <w:rPr>
      <w:vertAlign w:val="superscript"/>
    </w:rPr>
  </w:style>
  <w:style w:type="paragraph" w:customStyle="1" w:styleId="04partenormativa">
    <w:name w:val="04partenormativa"/>
    <w:basedOn w:val="Normal"/>
    <w:rsid w:val="003C0EE7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C0E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0EE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7D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D0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2021-11-08T16:39:00Z</cp:lastPrinted>
  <dcterms:created xsi:type="dcterms:W3CDTF">2021-11-08T16:38:00Z</dcterms:created>
  <dcterms:modified xsi:type="dcterms:W3CDTF">2021-11-08T16:41:00Z</dcterms:modified>
</cp:coreProperties>
</file>